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24"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UNITED STATES</w:t>
      </w:r>
    </w:p>
    <w:p>
      <w:pPr>
        <w:jc w:val="center"/>
        <w:ind w:right="-1120"/>
        <w:spacing w:after="0" w:line="202" w:lineRule="auto"/>
        <w:rPr>
          <w:sz w:val="20"/>
          <w:szCs w:val="20"/>
          <w:color w:val="auto"/>
        </w:rPr>
      </w:pPr>
      <w:r>
        <w:rPr>
          <w:rFonts w:ascii="Arial" w:cs="Arial" w:eastAsia="Arial" w:hAnsi="Arial"/>
          <w:sz w:val="25"/>
          <w:szCs w:val="25"/>
          <w:b w:val="1"/>
          <w:bCs w:val="1"/>
          <w:color w:val="auto"/>
        </w:rPr>
        <w:t>SECURITIES AND EXCHANGE COMMISSION</w:t>
      </w:r>
    </w:p>
    <w:p>
      <w:pPr>
        <w:spacing w:after="0" w:line="1"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71"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38" w:lineRule="exact"/>
        <w:rPr>
          <w:sz w:val="24"/>
          <w:szCs w:val="24"/>
          <w:color w:val="auto"/>
        </w:rPr>
      </w:pPr>
    </w:p>
    <w:p>
      <w:pPr>
        <w:jc w:val="center"/>
        <w:ind w:right="-1120"/>
        <w:spacing w:after="0"/>
        <w:rPr>
          <w:sz w:val="20"/>
          <w:szCs w:val="20"/>
          <w:color w:val="auto"/>
        </w:rPr>
      </w:pPr>
      <w:r>
        <w:rPr>
          <w:rFonts w:ascii="Arial" w:cs="Arial" w:eastAsia="Arial" w:hAnsi="Arial"/>
          <w:sz w:val="22"/>
          <w:szCs w:val="22"/>
          <w:color w:val="auto"/>
        </w:rPr>
        <w:t>REPORT OF FOREIGN PRIVATE ISSUER</w:t>
      </w:r>
    </w:p>
    <w:p>
      <w:pPr>
        <w:jc w:val="center"/>
        <w:ind w:right="-1120"/>
        <w:spacing w:after="0" w:line="204" w:lineRule="auto"/>
        <w:rPr>
          <w:sz w:val="20"/>
          <w:szCs w:val="20"/>
          <w:color w:val="auto"/>
        </w:rPr>
      </w:pPr>
      <w:r>
        <w:rPr>
          <w:rFonts w:ascii="Arial" w:cs="Arial" w:eastAsia="Arial" w:hAnsi="Arial"/>
          <w:sz w:val="22"/>
          <w:szCs w:val="22"/>
          <w:color w:val="auto"/>
        </w:rPr>
        <w:t>PURSUANT TO RULE 13a-16 OR 15d-16 UNDER THE</w:t>
      </w:r>
    </w:p>
    <w:p>
      <w:pPr>
        <w:spacing w:after="0" w:line="1" w:lineRule="exact"/>
        <w:rPr>
          <w:sz w:val="24"/>
          <w:szCs w:val="24"/>
          <w:color w:val="auto"/>
        </w:rPr>
      </w:pPr>
    </w:p>
    <w:p>
      <w:pPr>
        <w:jc w:val="center"/>
        <w:ind w:right="-1120"/>
        <w:spacing w:after="0"/>
        <w:rPr>
          <w:sz w:val="20"/>
          <w:szCs w:val="20"/>
          <w:color w:val="auto"/>
        </w:rPr>
      </w:pPr>
      <w:r>
        <w:rPr>
          <w:rFonts w:ascii="Arial" w:cs="Arial" w:eastAsia="Arial" w:hAnsi="Arial"/>
          <w:sz w:val="22"/>
          <w:szCs w:val="22"/>
          <w:color w:val="auto"/>
        </w:rPr>
        <w:t>SECURITIES EXCHANGE ACT OF 1934</w:t>
      </w:r>
    </w:p>
    <w:p>
      <w:pPr>
        <w:spacing w:after="0" w:line="200" w:lineRule="exact"/>
        <w:rPr>
          <w:sz w:val="24"/>
          <w:szCs w:val="24"/>
          <w:color w:val="auto"/>
        </w:rPr>
      </w:pPr>
    </w:p>
    <w:p>
      <w:pPr>
        <w:spacing w:after="0" w:line="231" w:lineRule="exact"/>
        <w:rPr>
          <w:sz w:val="24"/>
          <w:szCs w:val="24"/>
          <w:color w:val="auto"/>
        </w:rPr>
      </w:pPr>
    </w:p>
    <w:p>
      <w:pPr>
        <w:jc w:val="center"/>
        <w:ind w:right="-1120"/>
        <w:spacing w:after="0"/>
        <w:rPr>
          <w:sz w:val="20"/>
          <w:szCs w:val="20"/>
          <w:color w:val="auto"/>
        </w:rPr>
      </w:pPr>
      <w:r>
        <w:rPr>
          <w:rFonts w:ascii="Arial" w:cs="Arial" w:eastAsia="Arial" w:hAnsi="Arial"/>
          <w:sz w:val="22"/>
          <w:szCs w:val="22"/>
          <w:color w:val="auto"/>
        </w:rPr>
        <w:t>For the month of April, 2022</w:t>
      </w:r>
    </w:p>
    <w:p>
      <w:pPr>
        <w:spacing w:after="0" w:line="206" w:lineRule="exact"/>
        <w:rPr>
          <w:sz w:val="24"/>
          <w:szCs w:val="24"/>
          <w:color w:val="auto"/>
        </w:rPr>
      </w:pPr>
    </w:p>
    <w:p>
      <w:pPr>
        <w:jc w:val="center"/>
        <w:ind w:right="-1120"/>
        <w:spacing w:after="0"/>
        <w:rPr>
          <w:sz w:val="20"/>
          <w:szCs w:val="20"/>
          <w:color w:val="auto"/>
        </w:rPr>
      </w:pPr>
      <w:r>
        <w:rPr>
          <w:rFonts w:ascii="Arial" w:cs="Arial" w:eastAsia="Arial" w:hAnsi="Arial"/>
          <w:sz w:val="22"/>
          <w:szCs w:val="22"/>
          <w:color w:val="auto"/>
        </w:rPr>
        <w:t>Commission File Number 1-11414</w:t>
      </w:r>
    </w:p>
    <w:p>
      <w:pPr>
        <w:spacing w:after="0" w:line="200" w:lineRule="exact"/>
        <w:rPr>
          <w:sz w:val="24"/>
          <w:szCs w:val="24"/>
          <w:color w:val="auto"/>
        </w:rPr>
      </w:pPr>
    </w:p>
    <w:p>
      <w:pPr>
        <w:spacing w:after="0" w:line="219"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jc w:val="center"/>
        <w:ind w:right="-1120"/>
        <w:spacing w:after="0"/>
        <w:rPr>
          <w:sz w:val="20"/>
          <w:szCs w:val="20"/>
          <w:color w:val="auto"/>
        </w:rPr>
      </w:pPr>
      <w:r>
        <w:rPr>
          <w:rFonts w:ascii="Arial" w:cs="Arial" w:eastAsia="Arial" w:hAnsi="Arial"/>
          <w:sz w:val="14"/>
          <w:szCs w:val="14"/>
          <w:color w:val="auto"/>
        </w:rPr>
        <w:t>(Exact name of Registrant as specified in its Charter)</w:t>
      </w:r>
    </w:p>
    <w:p>
      <w:pPr>
        <w:spacing w:after="0" w:line="173"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ind w:left="4280"/>
        <w:spacing w:after="0"/>
        <w:rPr>
          <w:sz w:val="20"/>
          <w:szCs w:val="20"/>
          <w:color w:val="auto"/>
        </w:rPr>
      </w:pPr>
      <w:r>
        <w:rPr>
          <w:rFonts w:ascii="Arial" w:cs="Arial" w:eastAsia="Arial" w:hAnsi="Arial"/>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80"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jc w:val="center"/>
        <w:ind w:right="-1120"/>
        <w:spacing w:after="0" w:line="203" w:lineRule="auto"/>
        <w:rPr>
          <w:sz w:val="20"/>
          <w:szCs w:val="20"/>
          <w:color w:val="auto"/>
        </w:rPr>
      </w:pPr>
      <w:r>
        <w:rPr>
          <w:rFonts w:ascii="Arial" w:cs="Arial" w:eastAsia="Arial" w:hAnsi="Arial"/>
          <w:sz w:val="18"/>
          <w:szCs w:val="18"/>
          <w:color w:val="auto"/>
        </w:rPr>
        <w:t>P.O. Box 0819-08730</w:t>
      </w:r>
    </w:p>
    <w:p>
      <w:pPr>
        <w:jc w:val="center"/>
        <w:ind w:right="-1120"/>
        <w:spacing w:after="0" w:line="194" w:lineRule="auto"/>
        <w:rPr>
          <w:sz w:val="20"/>
          <w:szCs w:val="20"/>
          <w:color w:val="auto"/>
        </w:rPr>
      </w:pPr>
      <w:r>
        <w:rPr>
          <w:rFonts w:ascii="Arial" w:cs="Arial" w:eastAsia="Arial" w:hAnsi="Arial"/>
          <w:sz w:val="18"/>
          <w:szCs w:val="18"/>
          <w:color w:val="auto"/>
        </w:rPr>
        <w:t>Panama City, Republic of Panama</w:t>
      </w:r>
    </w:p>
    <w:p>
      <w:pPr>
        <w:ind w:left="4080"/>
        <w:spacing w:after="0"/>
        <w:rPr>
          <w:sz w:val="20"/>
          <w:szCs w:val="20"/>
          <w:color w:val="auto"/>
        </w:rPr>
      </w:pPr>
      <w:r>
        <w:rPr>
          <w:rFonts w:ascii="Arial" w:cs="Arial" w:eastAsia="Arial" w:hAnsi="Arial"/>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95" w:lineRule="exact"/>
        <w:rPr>
          <w:sz w:val="24"/>
          <w:szCs w:val="24"/>
          <w:color w:val="auto"/>
        </w:rPr>
      </w:pPr>
    </w:p>
    <w:p>
      <w:pPr>
        <w:ind w:left="4640" w:right="1639" w:hanging="4638"/>
        <w:spacing w:after="0" w:line="340" w:lineRule="auto"/>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u w:val="single" w:color="auto"/>
          <w:color w:val="auto"/>
        </w:rPr>
        <w:t>x</w:t>
      </w:r>
      <w:r>
        <w:rPr>
          <w:rFonts w:ascii="Arial" w:cs="Arial" w:eastAsia="Arial" w:hAnsi="Arial"/>
          <w:sz w:val="18"/>
          <w:szCs w:val="18"/>
          <w:color w:val="auto"/>
        </w:rPr>
        <w:t xml:space="preserve"> Form 40-F __</w:t>
      </w:r>
    </w:p>
    <w:p>
      <w:pPr>
        <w:spacing w:after="0" w:line="102"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61" w:lineRule="exact"/>
        <w:rPr>
          <w:sz w:val="24"/>
          <w:szCs w:val="24"/>
          <w:color w:val="auto"/>
        </w:rPr>
      </w:pPr>
    </w:p>
    <w:p>
      <w:pPr>
        <w:ind w:left="5180"/>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pacing w:after="0" w:line="306"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23" w:lineRule="exact"/>
        <w:rPr>
          <w:sz w:val="24"/>
          <w:szCs w:val="24"/>
          <w:color w:val="auto"/>
        </w:rPr>
      </w:pPr>
    </w:p>
    <w:p>
      <w:pPr>
        <w:ind w:left="5180"/>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ectPr>
          <w:pgSz w:w="11900" w:h="16838" w:orient="portrait"/>
          <w:cols w:equalWidth="0" w:num="1">
            <w:col w:w="10139"/>
          </w:cols>
          <w:pgMar w:left="320" w:top="1440" w:right="1440" w:bottom="1440" w:gutter="0" w:footer="0" w:header="0"/>
        </w:sectPr>
      </w:pPr>
    </w:p>
    <w:bookmarkStart w:id="1" w:name="page2"/>
    <w:bookmarkEnd w:id="1"/>
    <w:p>
      <w:pPr>
        <w:spacing w:after="0" w:line="198"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SIGNATURES</w:t>
      </w:r>
    </w:p>
    <w:p>
      <w:pPr>
        <w:spacing w:after="0" w:line="219" w:lineRule="exact"/>
        <w:rPr>
          <w:sz w:val="20"/>
          <w:szCs w:val="20"/>
          <w:color w:val="auto"/>
        </w:rPr>
      </w:pPr>
    </w:p>
    <w:p>
      <w:pPr>
        <w:ind w:firstLine="286"/>
        <w:spacing w:after="0" w:line="23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April 28, 2022</w:t>
      </w:r>
    </w:p>
    <w:p>
      <w:pPr>
        <w:jc w:val="right"/>
        <w:spacing w:after="0" w:line="204" w:lineRule="auto"/>
        <w:rPr>
          <w:sz w:val="20"/>
          <w:szCs w:val="20"/>
          <w:color w:val="auto"/>
        </w:rPr>
      </w:pPr>
      <w:r>
        <w:rPr>
          <w:rFonts w:ascii="Arial" w:cs="Arial" w:eastAsia="Arial" w:hAnsi="Arial"/>
          <w:sz w:val="22"/>
          <w:szCs w:val="22"/>
          <w:color w:val="auto"/>
        </w:rPr>
        <w:t>FOREIGN TRADE BANK OF LATIN AMERICA, INC.</w:t>
      </w:r>
    </w:p>
    <w:p>
      <w:pPr>
        <w:spacing w:after="0" w:line="1"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(Registrant)</w:t>
      </w:r>
    </w:p>
    <w:p>
      <w:pPr>
        <w:spacing w:after="0" w:line="200" w:lineRule="exact"/>
        <w:rPr>
          <w:sz w:val="20"/>
          <w:szCs w:val="20"/>
          <w:color w:val="auto"/>
        </w:rPr>
      </w:pPr>
    </w:p>
    <w:p>
      <w:pPr>
        <w:spacing w:after="0" w:line="238" w:lineRule="exact"/>
        <w:rPr>
          <w:sz w:val="20"/>
          <w:szCs w:val="20"/>
          <w:color w:val="auto"/>
        </w:rPr>
      </w:pPr>
    </w:p>
    <w:p>
      <w:pPr>
        <w:ind w:left="126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969645</wp:posOffset>
            </wp:positionH>
            <wp:positionV relativeFrom="paragraph">
              <wp:posOffset>-10160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76" w:lineRule="exact"/>
        <w:rPr>
          <w:sz w:val="20"/>
          <w:szCs w:val="20"/>
          <w:color w:val="auto"/>
        </w:rPr>
      </w:pPr>
    </w:p>
    <w:p>
      <w:pPr>
        <w:ind w:left="1260"/>
        <w:spacing w:after="0"/>
        <w:rPr>
          <w:sz w:val="20"/>
          <w:szCs w:val="20"/>
          <w:color w:val="auto"/>
        </w:rPr>
      </w:pPr>
      <w:r>
        <w:rPr>
          <w:rFonts w:ascii="Arial" w:cs="Arial" w:eastAsia="Arial" w:hAnsi="Arial"/>
          <w:sz w:val="18"/>
          <w:szCs w:val="18"/>
          <w:color w:val="auto"/>
        </w:rPr>
        <w:t>Name: Ana Graciela de Méndez</w:t>
      </w:r>
    </w:p>
    <w:p>
      <w:pPr>
        <w:ind w:left="1260"/>
        <w:spacing w:after="0"/>
        <w:rPr>
          <w:sz w:val="20"/>
          <w:szCs w:val="20"/>
          <w:color w:val="auto"/>
        </w:rPr>
      </w:pPr>
      <w:r>
        <w:rPr>
          <w:rFonts w:ascii="Arial" w:cs="Arial" w:eastAsia="Arial" w:hAnsi="Arial"/>
          <w:sz w:val="18"/>
          <w:szCs w:val="18"/>
          <w:color w:val="auto"/>
        </w:rPr>
        <w:t>Title: CFO</w:t>
      </w:r>
    </w:p>
    <w:p>
      <w:pPr>
        <w:sectPr>
          <w:pgSz w:w="11900" w:h="16838" w:orient="portrait"/>
          <w:cols w:equalWidth="0" w:num="1">
            <w:col w:w="11240"/>
          </w:cols>
          <w:pgMar w:left="320" w:top="1440"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2925445</wp:posOffset>
            </wp:positionH>
            <wp:positionV relativeFrom="page">
              <wp:posOffset>88900</wp:posOffset>
            </wp:positionV>
            <wp:extent cx="1705610" cy="6940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1705610" cy="6940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FILES ANNUAL REPORT ON FORM 20-F</w:t>
      </w:r>
    </w:p>
    <w:p>
      <w:pPr>
        <w:spacing w:after="0" w:line="200" w:lineRule="exact"/>
        <w:rPr>
          <w:sz w:val="20"/>
          <w:szCs w:val="20"/>
          <w:color w:val="auto"/>
        </w:rPr>
      </w:pPr>
    </w:p>
    <w:p>
      <w:pPr>
        <w:spacing w:after="0" w:line="249" w:lineRule="exact"/>
        <w:rPr>
          <w:sz w:val="20"/>
          <w:szCs w:val="20"/>
          <w:color w:val="auto"/>
        </w:rPr>
      </w:pPr>
    </w:p>
    <w:p>
      <w:pPr>
        <w:jc w:val="both"/>
        <w:spacing w:after="0" w:line="243" w:lineRule="auto"/>
        <w:rPr>
          <w:sz w:val="20"/>
          <w:szCs w:val="20"/>
          <w:color w:val="auto"/>
        </w:rPr>
      </w:pPr>
      <w:r>
        <w:rPr>
          <w:rFonts w:ascii="Arial" w:cs="Arial" w:eastAsia="Arial" w:hAnsi="Arial"/>
          <w:sz w:val="22"/>
          <w:szCs w:val="22"/>
          <w:b w:val="1"/>
          <w:bCs w:val="1"/>
          <w:color w:val="auto"/>
        </w:rPr>
        <w:t xml:space="preserve">Panama City, Republic of Panama, April 28, 2022 </w:t>
      </w:r>
      <w:r>
        <w:rPr>
          <w:rFonts w:ascii="Arial" w:cs="Arial" w:eastAsia="Arial" w:hAnsi="Arial"/>
          <w:sz w:val="22"/>
          <w:szCs w:val="22"/>
          <w:color w:val="auto"/>
        </w:rPr>
        <w:t>- Banco Latinoamericano de Comercio Exterior, S.A. (“Bladex” or “the</w:t>
      </w:r>
      <w:r>
        <w:rPr>
          <w:rFonts w:ascii="Arial" w:cs="Arial" w:eastAsia="Arial" w:hAnsi="Arial"/>
          <w:sz w:val="22"/>
          <w:szCs w:val="22"/>
          <w:b w:val="1"/>
          <w:bCs w:val="1"/>
          <w:color w:val="auto"/>
        </w:rPr>
        <w:t xml:space="preserve"> </w:t>
      </w:r>
      <w:r>
        <w:rPr>
          <w:rFonts w:ascii="Arial" w:cs="Arial" w:eastAsia="Arial" w:hAnsi="Arial"/>
          <w:sz w:val="22"/>
          <w:szCs w:val="22"/>
          <w:color w:val="auto"/>
        </w:rPr>
        <w:t>Bank”) announced today that the Bank filed its annual report on Form 20-F for the fiscal year ended December 31, 2021 (the “2021 Annual Report”) with the U.S. Securities and Exchange Commission (the “SEC”).</w:t>
      </w:r>
    </w:p>
    <w:p>
      <w:pPr>
        <w:spacing w:after="0" w:line="183" w:lineRule="exact"/>
        <w:rPr>
          <w:sz w:val="20"/>
          <w:szCs w:val="20"/>
          <w:color w:val="auto"/>
        </w:rPr>
      </w:pPr>
    </w:p>
    <w:p>
      <w:pPr>
        <w:jc w:val="both"/>
        <w:spacing w:after="0"/>
        <w:rPr>
          <w:sz w:val="20"/>
          <w:szCs w:val="20"/>
          <w:color w:val="auto"/>
        </w:rPr>
      </w:pPr>
      <w:r>
        <w:rPr>
          <w:rFonts w:ascii="Arial" w:cs="Arial" w:eastAsia="Arial" w:hAnsi="Arial"/>
          <w:sz w:val="22"/>
          <w:szCs w:val="22"/>
          <w:color w:val="auto"/>
        </w:rPr>
        <w:t xml:space="preserve">The 2021 Annual Report and audited financial statements can be accessed by visiting either the SEC’s website at </w:t>
      </w:r>
      <w:r>
        <w:rPr>
          <w:rFonts w:ascii="Arial" w:cs="Arial" w:eastAsia="Arial" w:hAnsi="Arial"/>
          <w:sz w:val="22"/>
          <w:szCs w:val="22"/>
          <w:u w:val="single" w:color="auto"/>
          <w:color w:val="0000FF"/>
        </w:rPr>
        <w:t>www.sec.gov</w:t>
      </w:r>
      <w:r>
        <w:rPr>
          <w:rFonts w:ascii="Arial" w:cs="Arial" w:eastAsia="Arial" w:hAnsi="Arial"/>
          <w:sz w:val="22"/>
          <w:szCs w:val="22"/>
          <w:color w:val="auto"/>
        </w:rPr>
        <w:t xml:space="preserve"> or Bladex’s website at </w:t>
      </w:r>
      <w:r>
        <w:rPr>
          <w:rFonts w:ascii="Arial" w:cs="Arial" w:eastAsia="Arial" w:hAnsi="Arial"/>
          <w:sz w:val="22"/>
          <w:szCs w:val="22"/>
          <w:u w:val="single" w:color="auto"/>
          <w:color w:val="0000FF"/>
        </w:rPr>
        <w:t>www.bladex.com</w:t>
      </w:r>
      <w:r>
        <w:rPr>
          <w:rFonts w:ascii="Arial" w:cs="Arial" w:eastAsia="Arial" w:hAnsi="Arial"/>
          <w:sz w:val="22"/>
          <w:szCs w:val="22"/>
          <w:color w:val="auto"/>
        </w:rPr>
        <w:t>. The Bank can also provide a copy of the Bank’s audited financial statements or annual report on Form 20-F, upon a written request and without charge.</w:t>
      </w:r>
    </w:p>
    <w:p>
      <w:pPr>
        <w:spacing w:after="0" w:line="173" w:lineRule="exact"/>
        <w:rPr>
          <w:sz w:val="20"/>
          <w:szCs w:val="20"/>
          <w:color w:val="auto"/>
        </w:rPr>
      </w:pPr>
    </w:p>
    <w:p>
      <w:pPr>
        <w:jc w:val="both"/>
        <w:spacing w:after="0" w:line="257" w:lineRule="auto"/>
        <w:rPr>
          <w:sz w:val="20"/>
          <w:szCs w:val="20"/>
          <w:color w:val="auto"/>
        </w:rPr>
      </w:pPr>
      <w:r>
        <w:rPr>
          <w:rFonts w:ascii="Arial" w:cs="Arial" w:eastAsia="Arial" w:hAnsi="Arial"/>
          <w:sz w:val="19"/>
          <w:szCs w:val="19"/>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71" w:lineRule="exact"/>
        <w:rPr>
          <w:sz w:val="20"/>
          <w:szCs w:val="20"/>
          <w:color w:val="auto"/>
        </w:rPr>
      </w:pPr>
    </w:p>
    <w:p>
      <w:pPr>
        <w:jc w:val="both"/>
        <w:spacing w:after="0" w:line="223" w:lineRule="auto"/>
        <w:rPr>
          <w:sz w:val="20"/>
          <w:szCs w:val="20"/>
          <w:color w:val="auto"/>
        </w:rPr>
      </w:pPr>
      <w:r>
        <w:rPr>
          <w:rFonts w:ascii="Arial" w:cs="Arial" w:eastAsia="Arial" w:hAnsi="Arial"/>
          <w:sz w:val="22"/>
          <w:szCs w:val="22"/>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6" w:lineRule="exact"/>
        <w:rPr>
          <w:sz w:val="20"/>
          <w:szCs w:val="20"/>
          <w:color w:val="auto"/>
        </w:rPr>
      </w:pPr>
    </w:p>
    <w:p>
      <w:pPr>
        <w:spacing w:after="0"/>
        <w:rPr>
          <w:sz w:val="20"/>
          <w:szCs w:val="20"/>
          <w:color w:val="auto"/>
        </w:rPr>
      </w:pPr>
      <w:r>
        <w:rPr>
          <w:rFonts w:ascii="Arial" w:cs="Arial" w:eastAsia="Arial" w:hAnsi="Arial"/>
          <w:sz w:val="22"/>
          <w:szCs w:val="22"/>
          <w:color w:val="auto"/>
        </w:rPr>
        <w:t xml:space="preserve">For further information on Bladex, please access its website at </w:t>
      </w:r>
      <w:r>
        <w:rPr>
          <w:rFonts w:ascii="Arial" w:cs="Arial" w:eastAsia="Arial" w:hAnsi="Arial"/>
          <w:sz w:val="22"/>
          <w:szCs w:val="22"/>
          <w:u w:val="single" w:color="auto"/>
          <w:color w:val="0000FF"/>
        </w:rPr>
        <w:t>www.bladex.com</w:t>
      </w:r>
      <w:r>
        <w:rPr>
          <w:rFonts w:ascii="Arial" w:cs="Arial" w:eastAsia="Arial" w:hAnsi="Arial"/>
          <w:sz w:val="22"/>
          <w:szCs w:val="22"/>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170180</wp:posOffset>
            </wp:positionV>
            <wp:extent cx="7140575" cy="6000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0575" cy="600075"/>
                    </a:xfrm>
                    <a:prstGeom prst="rect">
                      <a:avLst/>
                    </a:prstGeom>
                    <a:noFill/>
                  </pic:spPr>
                </pic:pic>
              </a:graphicData>
            </a:graphic>
          </wp:anchor>
        </w:drawing>
      </w:r>
    </w:p>
    <w:p>
      <w:pPr>
        <w:spacing w:after="0" w:line="235" w:lineRule="exact"/>
        <w:rPr>
          <w:sz w:val="20"/>
          <w:szCs w:val="20"/>
          <w:color w:val="auto"/>
        </w:rPr>
      </w:pPr>
    </w:p>
    <w:p>
      <w:pPr>
        <w:ind w:left="80"/>
        <w:spacing w:after="0"/>
        <w:rPr>
          <w:sz w:val="20"/>
          <w:szCs w:val="20"/>
          <w:color w:val="auto"/>
        </w:rPr>
      </w:pPr>
      <w:r>
        <w:rPr>
          <w:rFonts w:ascii="Arial" w:cs="Arial" w:eastAsia="Arial" w:hAnsi="Arial"/>
          <w:sz w:val="22"/>
          <w:szCs w:val="22"/>
          <w:color w:val="auto"/>
        </w:rPr>
        <w:t>Investor Relations</w:t>
      </w:r>
    </w:p>
    <w:p>
      <w:pPr>
        <w:ind w:left="80"/>
        <w:spacing w:after="0" w:line="204" w:lineRule="auto"/>
        <w:rPr>
          <w:sz w:val="20"/>
          <w:szCs w:val="20"/>
          <w:color w:val="auto"/>
        </w:rPr>
      </w:pPr>
      <w:r>
        <w:rPr>
          <w:rFonts w:ascii="Arial" w:cs="Arial" w:eastAsia="Arial" w:hAnsi="Arial"/>
          <w:sz w:val="22"/>
          <w:szCs w:val="22"/>
          <w:color w:val="auto"/>
        </w:rPr>
        <w:t xml:space="preserve">E-mail address: </w:t>
      </w:r>
      <w:r>
        <w:rPr>
          <w:rFonts w:ascii="Arial" w:cs="Arial" w:eastAsia="Arial" w:hAnsi="Arial"/>
          <w:sz w:val="22"/>
          <w:szCs w:val="22"/>
          <w:u w:val="single" w:color="auto"/>
          <w:color w:val="0000FF"/>
        </w:rPr>
        <w:t>ir@bladex.com</w:t>
      </w:r>
      <w:r>
        <w:rPr>
          <w:rFonts w:ascii="Arial" w:cs="Arial" w:eastAsia="Arial" w:hAnsi="Arial"/>
          <w:sz w:val="22"/>
          <w:szCs w:val="22"/>
          <w:color w:val="auto"/>
        </w:rPr>
        <w:t>. Tel.: (+507) 210-8563</w:t>
      </w:r>
    </w:p>
    <w:p>
      <w:pPr>
        <w:ind w:left="80"/>
        <w:spacing w:after="0" w:line="205" w:lineRule="auto"/>
        <w:rPr>
          <w:sz w:val="20"/>
          <w:szCs w:val="20"/>
          <w:color w:val="auto"/>
        </w:rPr>
      </w:pPr>
      <w:r>
        <w:rPr>
          <w:rFonts w:ascii="Arial" w:cs="Arial" w:eastAsia="Arial" w:hAnsi="Arial"/>
          <w:sz w:val="22"/>
          <w:szCs w:val="22"/>
          <w:color w:val="auto"/>
        </w:rPr>
        <w:t>Head Office Address: Torre V, Business Park, Ave. La Rotonda, Urb. Costa del Este,</w:t>
      </w:r>
    </w:p>
    <w:p>
      <w:pPr>
        <w:spacing w:after="0" w:line="1" w:lineRule="exact"/>
        <w:rPr>
          <w:sz w:val="20"/>
          <w:szCs w:val="20"/>
          <w:color w:val="auto"/>
        </w:rPr>
      </w:pPr>
    </w:p>
    <w:p>
      <w:pPr>
        <w:ind w:left="80"/>
        <w:spacing w:after="0"/>
        <w:rPr>
          <w:sz w:val="20"/>
          <w:szCs w:val="20"/>
          <w:color w:val="auto"/>
        </w:rPr>
      </w:pPr>
      <w:r>
        <w:rPr>
          <w:rFonts w:ascii="Arial" w:cs="Arial" w:eastAsia="Arial" w:hAnsi="Arial"/>
          <w:sz w:val="22"/>
          <w:szCs w:val="22"/>
          <w:color w:val="auto"/>
        </w:rPr>
        <w:t>Panama, Republic of Panama</w:t>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2022-04-29T05:34:29Z</dcterms:created>
  <dcterms:modified xsi:type="dcterms:W3CDTF">2022-04-29T05:34:29Z</dcterms:modified>
</cp:coreProperties>
</file>